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5E" w:rsidRPr="00E1135E" w:rsidRDefault="00E1135E" w:rsidP="00E1135E">
      <w:pPr>
        <w:spacing w:after="150" w:line="300" w:lineRule="atLeast"/>
        <w:outlineLvl w:val="3"/>
        <w:rPr>
          <w:rFonts w:ascii="inherit" w:eastAsia="Times New Roman" w:hAnsi="inherit" w:cs="Times New Roman"/>
          <w:b/>
          <w:bCs/>
          <w:color w:val="8BC53F"/>
          <w:sz w:val="21"/>
          <w:szCs w:val="21"/>
          <w:lang w:eastAsia="ru-RU"/>
        </w:rPr>
      </w:pPr>
      <w:proofErr w:type="spellStart"/>
      <w:r w:rsidRPr="00E1135E">
        <w:rPr>
          <w:rFonts w:ascii="inherit" w:eastAsia="Times New Roman" w:hAnsi="inherit" w:cs="Times New Roman"/>
          <w:b/>
          <w:bCs/>
          <w:color w:val="8BC53F"/>
          <w:sz w:val="21"/>
          <w:szCs w:val="21"/>
          <w:lang w:eastAsia="ru-RU"/>
        </w:rPr>
        <w:t>Belinka</w:t>
      </w:r>
      <w:proofErr w:type="spellEnd"/>
      <w:r w:rsidRPr="00E1135E">
        <w:rPr>
          <w:rFonts w:ascii="inherit" w:eastAsia="Times New Roman" w:hAnsi="inherit" w:cs="Times New Roman"/>
          <w:b/>
          <w:bCs/>
          <w:color w:val="8BC53F"/>
          <w:sz w:val="21"/>
          <w:szCs w:val="21"/>
          <w:lang w:eastAsia="ru-RU"/>
        </w:rPr>
        <w:t xml:space="preserve"> масло для древесины </w:t>
      </w:r>
      <w:proofErr w:type="spellStart"/>
      <w:r w:rsidRPr="00E1135E">
        <w:rPr>
          <w:rFonts w:ascii="inherit" w:eastAsia="Times New Roman" w:hAnsi="inherit" w:cs="Times New Roman"/>
          <w:b/>
          <w:bCs/>
          <w:color w:val="8BC53F"/>
          <w:sz w:val="21"/>
          <w:szCs w:val="21"/>
          <w:lang w:eastAsia="ru-RU"/>
        </w:rPr>
        <w:t>соприкосающейся</w:t>
      </w:r>
      <w:proofErr w:type="spellEnd"/>
      <w:r w:rsidRPr="00E1135E">
        <w:rPr>
          <w:rFonts w:ascii="inherit" w:eastAsia="Times New Roman" w:hAnsi="inherit" w:cs="Times New Roman"/>
          <w:b/>
          <w:bCs/>
          <w:color w:val="8BC53F"/>
          <w:sz w:val="21"/>
          <w:szCs w:val="21"/>
          <w:lang w:eastAsia="ru-RU"/>
        </w:rPr>
        <w:t xml:space="preserve"> с продуктами питания</w:t>
      </w:r>
    </w:p>
    <w:p w:rsidR="00E1135E" w:rsidRPr="00E1135E" w:rsidRDefault="00E841EC" w:rsidP="00E1135E">
      <w:pPr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hyperlink r:id="rId6" w:tgtFrame="_blank" w:history="1">
        <w:r w:rsidR="00E1135E" w:rsidRPr="00E1135E">
          <w:rPr>
            <w:rFonts w:ascii="Helvetica" w:eastAsia="Times New Roman" w:hAnsi="Helvetica" w:cs="Times New Roman"/>
            <w:color w:val="8BC53F"/>
            <w:sz w:val="18"/>
            <w:szCs w:val="18"/>
            <w:lang w:eastAsia="ru-RU"/>
          </w:rPr>
          <w:t>Печать</w:t>
        </w:r>
      </w:hyperlink>
    </w:p>
    <w:p w:rsidR="00E1135E" w:rsidRPr="00E1135E" w:rsidRDefault="00E1135E" w:rsidP="00E1135E">
      <w:pPr>
        <w:spacing w:after="0" w:line="300" w:lineRule="atLeast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</w:p>
    <w:p w:rsidR="00E1135E" w:rsidRPr="00E1135E" w:rsidRDefault="00E1135E" w:rsidP="00E1135E">
      <w:pPr>
        <w:spacing w:after="0" w:line="300" w:lineRule="atLeast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Применяется для защиты и ухода за деревянными поверхностями из массива древесины, а также фанерными деревянными поверхностями, предназначенными для работы с продуктами питания или еды (кухонные столешницы, столы, сервировочные столы и т.д.), что подтверждается сертификатом. С помощью защиты природными растительными маслами древесина приобретает естественный цвет и текстуру. Масло пропитывается глубоко в поры древесины, и придает поверхности водоотталкивающий эффект. Масло не образует защитной плёнки, не закупоривает поры, поверхность паропроницаема и таким образом древесина продолжает «дышать». Покрытие наносится на деревянную поверхность, которая должна быть предварительно слегка отшлифована и очищена от пыли, без жиров, воска и других загрязнений. На поверхность древесины налейте масло и тканью равномерно распределите его по всей поверхности так, чтобы масла для древесины было немного больше чем надо. Дайте маслу впитаться в течение 10-15 минут. При нанесении погружением деревянные элементы погрузите в масло и по истечении 10-60 секунд дайте маслу стечь. По истечении 10-15 минут очистите оставшееся масло и поверхность отполируйте. Во всех случаях оставшееся масло вытрите чистой и сухой тканью или впитывающей бумагой, поверхность отполируйте. Остатки лишнего масла на поверхности образовывают плёнку, которая может трескаться после высыхания, а поверхность становится неравномерной и негладкой. Не советуем наносить изделие на поверхность при температуре ниже 15 °C. После работы инструменты и приспособления сразу следует очистить средствами водой с мылом, бензином,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уайт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-спиритом или нитро растворителем. Поверхность полностью высыхает по истечении 7 дней *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Belinka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масло для древесины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соприкосающейся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с продуктами питания, может использоваться в качестве основы при первой обработке деревянных поверхностей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Belinka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масло с воском для древесины*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7493"/>
      </w:tblGrid>
      <w:tr w:rsidR="00E1135E" w:rsidRPr="00E1135E" w:rsidTr="00E1135E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Значение</w:t>
            </w:r>
          </w:p>
        </w:tc>
      </w:tr>
      <w:tr w:rsidR="00E1135E" w:rsidRPr="00E1135E" w:rsidTr="00E1135E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4B4B4D"/>
                <w:sz w:val="18"/>
                <w:lang w:eastAsia="ru-RU"/>
              </w:rPr>
              <w:t>Состав</w:t>
            </w: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Растительные масла, минеральное масло и добавки. </w:t>
            </w:r>
          </w:p>
        </w:tc>
      </w:tr>
      <w:tr w:rsidR="00E1135E" w:rsidRPr="00E1135E" w:rsidTr="00E1135E"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8"/>
                <w:lang w:eastAsia="ru-RU"/>
              </w:rPr>
              <w:t>Метод нанесения</w:t>
            </w: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Масло можно наносить разными способами, 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но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не смотря на это в 90 % масло наносится тканью. Остальные способы: нанесение кисточкой или валиком, нанесение лопаткой, </w:t>
            </w:r>
            <w:proofErr w:type="spellStart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набрызгом</w:t>
            </w:r>
            <w:proofErr w:type="spell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или погружением. </w:t>
            </w:r>
          </w:p>
        </w:tc>
      </w:tr>
      <w:tr w:rsidR="00E1135E" w:rsidRPr="00E1135E" w:rsidTr="00E1135E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4B4B4D"/>
                <w:sz w:val="18"/>
                <w:lang w:eastAsia="ru-RU"/>
              </w:rPr>
              <w:t>Кол-во слоев</w:t>
            </w: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1-2 слоя</w:t>
            </w:r>
          </w:p>
        </w:tc>
      </w:tr>
      <w:tr w:rsidR="00E1135E" w:rsidRPr="00E1135E" w:rsidTr="00E1135E"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8"/>
                <w:lang w:eastAsia="ru-RU"/>
              </w:rPr>
              <w:t>Расход на 1 м</w:t>
            </w:r>
            <w:proofErr w:type="gramStart"/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2"/>
                <w:vertAlign w:val="superscript"/>
                <w:lang w:eastAsia="ru-RU"/>
              </w:rPr>
              <w:t>2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65 мл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.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п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ри рекомендованном количестве слоев)</w:t>
            </w:r>
          </w:p>
        </w:tc>
      </w:tr>
      <w:tr w:rsidR="00E1135E" w:rsidRPr="00E1135E" w:rsidTr="00E1135E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4B4B4D"/>
                <w:sz w:val="18"/>
                <w:lang w:eastAsia="ru-RU"/>
              </w:rPr>
              <w:t>Расход</w:t>
            </w: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Обычно расход изделия варьирует от 50 до 100 мл/м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2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при нанесении в один слой.</w:t>
            </w:r>
          </w:p>
        </w:tc>
      </w:tr>
      <w:tr w:rsidR="00E1135E" w:rsidRPr="00E1135E" w:rsidTr="00E1135E"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8"/>
                <w:lang w:eastAsia="ru-RU"/>
              </w:rPr>
              <w:t>Высыхание</w:t>
            </w: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24 часа</w:t>
            </w:r>
          </w:p>
        </w:tc>
      </w:tr>
      <w:tr w:rsidR="00E1135E" w:rsidRPr="00E1135E" w:rsidTr="00E1135E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4B4B4D"/>
                <w:sz w:val="18"/>
                <w:lang w:eastAsia="ru-RU"/>
              </w:rPr>
              <w:t>Хранение</w:t>
            </w: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В оригинально закрытой упаковке при температуре 5 – 25 °C. Защитить от прямых солнечных лучей. Не допускать замерзания.</w:t>
            </w:r>
          </w:p>
        </w:tc>
      </w:tr>
      <w:tr w:rsidR="00E1135E" w:rsidRPr="00E1135E" w:rsidTr="00E1135E"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8"/>
                <w:lang w:eastAsia="ru-RU"/>
              </w:rPr>
              <w:t>Упаковочные единицы</w:t>
            </w: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0,5л, 1л</w:t>
            </w:r>
          </w:p>
        </w:tc>
      </w:tr>
    </w:tbl>
    <w:p w:rsidR="00E1135E" w:rsidRPr="00E1135E" w:rsidRDefault="00E1135E" w:rsidP="00E1135E">
      <w:pPr>
        <w:spacing w:after="0" w:line="300" w:lineRule="atLeast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</w:p>
    <w:p w:rsidR="00E1135E" w:rsidRPr="00E1135E" w:rsidRDefault="00E1135E" w:rsidP="00E1135E">
      <w:pPr>
        <w:spacing w:after="150" w:line="300" w:lineRule="atLeast"/>
        <w:outlineLvl w:val="3"/>
        <w:rPr>
          <w:rFonts w:ascii="inherit" w:eastAsia="Times New Roman" w:hAnsi="inherit" w:cs="Times New Roman"/>
          <w:b/>
          <w:bCs/>
          <w:color w:val="8BC53F"/>
          <w:sz w:val="21"/>
          <w:szCs w:val="21"/>
          <w:lang w:eastAsia="ru-RU"/>
        </w:rPr>
      </w:pPr>
      <w:proofErr w:type="spellStart"/>
      <w:r w:rsidRPr="00E1135E">
        <w:rPr>
          <w:rFonts w:ascii="inherit" w:eastAsia="Times New Roman" w:hAnsi="inherit" w:cs="Times New Roman"/>
          <w:b/>
          <w:bCs/>
          <w:color w:val="8BC53F"/>
          <w:sz w:val="21"/>
          <w:szCs w:val="21"/>
          <w:lang w:eastAsia="ru-RU"/>
        </w:rPr>
        <w:t>Belinka</w:t>
      </w:r>
      <w:proofErr w:type="spellEnd"/>
      <w:r w:rsidRPr="00E1135E">
        <w:rPr>
          <w:rFonts w:ascii="inherit" w:eastAsia="Times New Roman" w:hAnsi="inherit" w:cs="Times New Roman"/>
          <w:b/>
          <w:bCs/>
          <w:color w:val="8BC53F"/>
          <w:sz w:val="21"/>
          <w:szCs w:val="21"/>
          <w:lang w:eastAsia="ru-RU"/>
        </w:rPr>
        <w:t xml:space="preserve"> масло с воском для древесины внутри помещений</w:t>
      </w:r>
    </w:p>
    <w:p w:rsidR="00E1135E" w:rsidRPr="00E1135E" w:rsidRDefault="00E841EC" w:rsidP="00E1135E">
      <w:pPr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hyperlink r:id="rId7" w:tgtFrame="_blank" w:history="1">
        <w:r w:rsidR="00E1135E" w:rsidRPr="00E1135E">
          <w:rPr>
            <w:rFonts w:ascii="Helvetica" w:eastAsia="Times New Roman" w:hAnsi="Helvetica" w:cs="Times New Roman"/>
            <w:color w:val="8BC53F"/>
            <w:sz w:val="18"/>
            <w:szCs w:val="18"/>
            <w:lang w:eastAsia="ru-RU"/>
          </w:rPr>
          <w:t>Печать</w:t>
        </w:r>
      </w:hyperlink>
    </w:p>
    <w:p w:rsidR="00E1135E" w:rsidRPr="00E1135E" w:rsidRDefault="00E1135E" w:rsidP="00E1135E">
      <w:pPr>
        <w:spacing w:after="0" w:line="300" w:lineRule="atLeast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</w:p>
    <w:p w:rsidR="00E1135E" w:rsidRPr="00E1135E" w:rsidRDefault="00E1135E" w:rsidP="00E1135E">
      <w:pPr>
        <w:spacing w:after="0" w:line="300" w:lineRule="atLeast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Изделие образует на поверхности тонкую плёнку, которая качественно защищает и приятно сглаживает поверхность. Применяется для защиты и по уходу за массивными деревянными элементами, такими как настенные облицовки и внутренняя мебель, когда необходимо подготовить гладкую и полную поверхность, а </w:t>
      </w: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lastRenderedPageBreak/>
        <w:t xml:space="preserve">классические покрытия использовать нет желания. С помощью защиты природными растительными маслами древесина приобретает естественный цвет и текстуру. После полировки поверхность приобретает полуматовый вид. Таким </w:t>
      </w:r>
      <w:proofErr w:type="gram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образом</w:t>
      </w:r>
      <w:proofErr w:type="gram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обработанная поверхность не только эстетически совершенна и приятна пользователю, но и водонепроницаема, устойчива к воздействию химических моющих средств, применяющихся в кухне, а также разбавленных моющих средств. Покрытие наносится на деревянную поверхность, которая должна быть предварительно отшлифована. Неравномерная шлифовка вызовет неравномерное впитывание масла и образование на поверхности полос. Для обеспечения качественной защиты древесины от влаги и красивого внешнего вида перед первым нанесением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Belinka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масло с воском для древесины, сначала пропитайте поверхность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Belinka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маслом для </w:t>
      </w:r>
      <w:proofErr w:type="gram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древесины</w:t>
      </w:r>
      <w:proofErr w:type="gram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соприкасающейся с продуктами питания. Рекомендуется нанести один слой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Belinka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масла для древесины, вступающего в конта</w:t>
      </w:r>
      <w:proofErr w:type="gram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кт с пр</w:t>
      </w:r>
      <w:proofErr w:type="gram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одуктами питания с промежутком для высыхания 24 часа. </w:t>
      </w:r>
      <w:proofErr w:type="gram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На</w:t>
      </w:r>
      <w:proofErr w:type="gram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</w:t>
      </w:r>
      <w:proofErr w:type="gram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таким</w:t>
      </w:r>
      <w:proofErr w:type="gram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образом подготовленную поверхность нанесите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Belinka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масло для древесины с добавлением воска. Перед нанесением изделие хорошо перемешайте. На поверхность древесины налейте масло и тканью равномерно распределите его по всей поверхности так, чтобы масла было немного больше чем надо. Дайте маслу впитаться в течение 5 минут. Оставшееся масло следует очистить с поверхности чистой и сухой тканью и по истечении определенного времени хорошо отполировать. Не рекомендуется наносить изделие на поверхность при температуре ниже 15 °C и относительной влажности более 75 %.Для лучшей стабильности древесины рекомендуется повторить процесс хотя бы ещё раз по истечении 24 часов. При работе с более пористыми основаниями или более мягкими сортами древесины рекомендуется нанести несколько слоёв. После работы инструменты и приспособления сразу следует очистить средствами водой с мылом, бензином,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уайт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-спиритом или нитро растворителем. Поверхность полностью высыхает по истечении 7 дней. *Подходит для обработки детской мебели и игрушек, что подтверждено сертификатом</w:t>
      </w:r>
      <w:proofErr w:type="gram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* *Д</w:t>
      </w:r>
      <w:proofErr w:type="gram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ля обеспечения качественной защиты древесины от влаги и красивого внешнего вида перед первым нанесением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Belinka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масло с воском для древесины, сначала пропитайте поверхность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Belinka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маслом для древесины соприкасающейся с продуктами питания*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7437"/>
      </w:tblGrid>
      <w:tr w:rsidR="00E1135E" w:rsidRPr="00E1135E" w:rsidTr="00E1135E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Значение</w:t>
            </w:r>
          </w:p>
        </w:tc>
      </w:tr>
      <w:tr w:rsidR="00E1135E" w:rsidRPr="00E1135E" w:rsidTr="00E1135E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4B4B4D"/>
                <w:sz w:val="18"/>
                <w:lang w:eastAsia="ru-RU"/>
              </w:rPr>
              <w:t>Состав</w:t>
            </w: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Разные естественные масла, пчелиный воск, </w:t>
            </w:r>
            <w:proofErr w:type="spellStart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карнаубский</w:t>
            </w:r>
            <w:proofErr w:type="spellEnd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воск, </w:t>
            </w:r>
            <w:proofErr w:type="spellStart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физикально</w:t>
            </w:r>
            <w:proofErr w:type="spellEnd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высыхаемая</w:t>
            </w:r>
            <w:proofErr w:type="spellEnd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смола, </w:t>
            </w:r>
            <w:proofErr w:type="spellStart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безароматный</w:t>
            </w:r>
            <w:proofErr w:type="spellEnd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растворитель и добавки. </w:t>
            </w:r>
          </w:p>
        </w:tc>
      </w:tr>
      <w:tr w:rsidR="00E1135E" w:rsidRPr="00E1135E" w:rsidTr="00E1135E"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8"/>
                <w:lang w:eastAsia="ru-RU"/>
              </w:rPr>
              <w:t>Метод нанесения</w:t>
            </w: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Масло можно наносить разными способами, 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но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не смотря на это в 90 % масло наносится тканью. Остальные способы: нанесение кисточкой, валиком или лопаткой. </w:t>
            </w:r>
          </w:p>
        </w:tc>
      </w:tr>
      <w:tr w:rsidR="00E1135E" w:rsidRPr="00E1135E" w:rsidTr="00E1135E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4B4B4D"/>
                <w:sz w:val="18"/>
                <w:lang w:eastAsia="ru-RU"/>
              </w:rPr>
              <w:t>Кол-во слоев</w:t>
            </w: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1-2 слоя</w:t>
            </w:r>
          </w:p>
        </w:tc>
      </w:tr>
      <w:tr w:rsidR="00E1135E" w:rsidRPr="00E1135E" w:rsidTr="00E1135E"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8"/>
                <w:lang w:eastAsia="ru-RU"/>
              </w:rPr>
              <w:t>Расход на 1 м</w:t>
            </w:r>
            <w:proofErr w:type="gramStart"/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2"/>
                <w:vertAlign w:val="superscript"/>
                <w:lang w:eastAsia="ru-RU"/>
              </w:rPr>
              <w:t>2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40 мл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.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п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ри рекомендованном количестве слоев)</w:t>
            </w:r>
          </w:p>
        </w:tc>
      </w:tr>
      <w:tr w:rsidR="00E1135E" w:rsidRPr="00E1135E" w:rsidTr="00E1135E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4B4B4D"/>
                <w:sz w:val="18"/>
                <w:lang w:eastAsia="ru-RU"/>
              </w:rPr>
              <w:t>Расход</w:t>
            </w: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Обычно расход изделия варьирует от 30 до 40 мл/м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2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при нанесении в один слой.</w:t>
            </w:r>
          </w:p>
        </w:tc>
      </w:tr>
      <w:tr w:rsidR="00E1135E" w:rsidRPr="00E1135E" w:rsidTr="00E1135E"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8"/>
                <w:lang w:eastAsia="ru-RU"/>
              </w:rPr>
              <w:t>Высыхание</w:t>
            </w: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24 часа</w:t>
            </w:r>
          </w:p>
        </w:tc>
      </w:tr>
      <w:tr w:rsidR="00E1135E" w:rsidRPr="00E1135E" w:rsidTr="00E1135E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4B4B4D"/>
                <w:sz w:val="18"/>
                <w:lang w:eastAsia="ru-RU"/>
              </w:rPr>
              <w:t>Хранение</w:t>
            </w: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В оригинально закрытой упаковке при температуре 5 – 25 °C. Защитить от прямых солнечных лучей. Не допускать замерзания.</w:t>
            </w:r>
          </w:p>
        </w:tc>
      </w:tr>
      <w:tr w:rsidR="00E1135E" w:rsidRPr="00E1135E" w:rsidTr="00E1135E"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8"/>
                <w:lang w:eastAsia="ru-RU"/>
              </w:rPr>
              <w:t>Упаковочные единицы</w:t>
            </w: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0,5л, 1л</w:t>
            </w:r>
          </w:p>
        </w:tc>
      </w:tr>
    </w:tbl>
    <w:p w:rsidR="00E1135E" w:rsidRPr="00E1135E" w:rsidRDefault="00E1135E" w:rsidP="00E1135E">
      <w:pPr>
        <w:spacing w:after="150" w:line="300" w:lineRule="atLeast"/>
        <w:outlineLvl w:val="3"/>
        <w:rPr>
          <w:rFonts w:ascii="inherit" w:eastAsia="Times New Roman" w:hAnsi="inherit" w:cs="Times New Roman"/>
          <w:b/>
          <w:bCs/>
          <w:color w:val="8BC53F"/>
          <w:sz w:val="21"/>
          <w:szCs w:val="21"/>
          <w:lang w:eastAsia="ru-RU"/>
        </w:rPr>
      </w:pPr>
      <w:proofErr w:type="spellStart"/>
      <w:r w:rsidRPr="00E1135E">
        <w:rPr>
          <w:rFonts w:ascii="inherit" w:eastAsia="Times New Roman" w:hAnsi="inherit" w:cs="Times New Roman"/>
          <w:b/>
          <w:bCs/>
          <w:color w:val="8BC53F"/>
          <w:sz w:val="21"/>
          <w:szCs w:val="21"/>
          <w:lang w:eastAsia="ru-RU"/>
        </w:rPr>
        <w:t>Belinka</w:t>
      </w:r>
      <w:proofErr w:type="spellEnd"/>
      <w:r w:rsidRPr="00E1135E">
        <w:rPr>
          <w:rFonts w:ascii="inherit" w:eastAsia="Times New Roman" w:hAnsi="inherit" w:cs="Times New Roman"/>
          <w:b/>
          <w:bCs/>
          <w:color w:val="8BC53F"/>
          <w:sz w:val="21"/>
          <w:szCs w:val="21"/>
          <w:lang w:eastAsia="ru-RU"/>
        </w:rPr>
        <w:t xml:space="preserve"> масло с УФ фильтрами для древесины снаружи помещений</w:t>
      </w:r>
    </w:p>
    <w:p w:rsidR="00E1135E" w:rsidRPr="00E1135E" w:rsidRDefault="00E841EC" w:rsidP="00E1135E">
      <w:pPr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hyperlink r:id="rId8" w:tgtFrame="_blank" w:history="1">
        <w:r w:rsidR="00E1135E" w:rsidRPr="00E1135E">
          <w:rPr>
            <w:rFonts w:ascii="Helvetica" w:eastAsia="Times New Roman" w:hAnsi="Helvetica" w:cs="Times New Roman"/>
            <w:color w:val="8BC53F"/>
            <w:sz w:val="18"/>
            <w:szCs w:val="18"/>
            <w:lang w:eastAsia="ru-RU"/>
          </w:rPr>
          <w:t>Печать</w:t>
        </w:r>
      </w:hyperlink>
    </w:p>
    <w:p w:rsidR="00E1135E" w:rsidRPr="00E1135E" w:rsidRDefault="00E1135E" w:rsidP="00E1135E">
      <w:pPr>
        <w:spacing w:after="0" w:line="300" w:lineRule="atLeast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</w:p>
    <w:p w:rsidR="00E1135E" w:rsidRPr="00E1135E" w:rsidRDefault="00E1135E" w:rsidP="00E1135E">
      <w:pPr>
        <w:spacing w:after="0" w:line="300" w:lineRule="atLeast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С помощью защиты природными растительными маслами древесина приобретает естественный цвет и текстуру. Масло пропитывается глубоко в поры древесины и не позволяет проникать влаге внутрь поверхности, а также благодаря специальным добавкам защищает поверхность от вредного воздействия </w:t>
      </w:r>
      <w:proofErr w:type="gram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УФ-</w:t>
      </w: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lastRenderedPageBreak/>
        <w:t>лучей</w:t>
      </w:r>
      <w:proofErr w:type="gram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. Пропитка также содержит средства, обеспечивающие защиту древесины от грибка и плесени. Масло не закупоривает поры, поверхность паропроницаема и таким образом древесина продолжает «дышать». Хорошо подходит для защиты и ухода за устойчивыми породами древесины (тик, лиственница, дуб). На поверхность древесины налейте масло и тканью равномерно распределите его по всей поверхности так, чтобы масла было немного больше чем надо. Дайте маслу впитаться в течение 15-20 минут. При нанесении погружением деревянные элементы погрузите в масло и по истечении 10-60 секунд дайте маслу стечь. По истечении 15-20 минут очистите оставшееся масло и поверхность отполируйте. Во всех случаях оставшееся масло для древесины вытрите чистой и сухой тканью или впитывающей бумагой, поверхность отполируйте. Остатки лишнего масла на поверхности образовывают плёнку, которая может трескаться после высыхания, а поверхность становится неравномерной и негладкой. Не советуем наносить изделие на поверхность при температуре ниже 15 °C. Для лучшей стабильности древесины рекомендуется повторить процесс хотя бы ещё раз по истечении 24 часов. При работе с более пористыми основаниями или более мягкими сортами древесины рекомендуется нанести несколько слоёв. После работы инструменты и приспособления сразу следует очистить средствами водой с мылом, бензином,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уайт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-спиритом или нитро растворителем. Поверхность полностью высыхает по истечении 7 дней.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7493"/>
      </w:tblGrid>
      <w:tr w:rsidR="00E1135E" w:rsidRPr="00E1135E" w:rsidTr="00E1135E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Значение</w:t>
            </w:r>
          </w:p>
        </w:tc>
      </w:tr>
      <w:tr w:rsidR="00E1135E" w:rsidRPr="00E1135E" w:rsidTr="00E1135E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4B4B4D"/>
                <w:sz w:val="18"/>
                <w:lang w:eastAsia="ru-RU"/>
              </w:rPr>
              <w:t>Состав</w:t>
            </w: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Устойчивые природные масла растительного происхождения, </w:t>
            </w:r>
            <w:proofErr w:type="spellStart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безароматный</w:t>
            </w:r>
            <w:proofErr w:type="spellEnd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растворитель, средство для высыхания, </w:t>
            </w:r>
            <w:proofErr w:type="spellStart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фугницидн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о</w:t>
            </w:r>
            <w:proofErr w:type="spellEnd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-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биоцидные средства и добавки. </w:t>
            </w:r>
          </w:p>
        </w:tc>
      </w:tr>
      <w:tr w:rsidR="00E1135E" w:rsidRPr="00E1135E" w:rsidTr="00E1135E"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8"/>
                <w:lang w:eastAsia="ru-RU"/>
              </w:rPr>
              <w:t>Метод нанесения</w:t>
            </w: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Масло можно наносить разными способами, 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но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не смотря на это в 90 % масло наносится тканью. Остальные способы: нанесение кисточкой или валиком, нанесение лопаткой, </w:t>
            </w:r>
            <w:proofErr w:type="spellStart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набрызгом</w:t>
            </w:r>
            <w:proofErr w:type="spell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или погружением. </w:t>
            </w:r>
          </w:p>
        </w:tc>
      </w:tr>
      <w:tr w:rsidR="00E1135E" w:rsidRPr="00E1135E" w:rsidTr="00E1135E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4B4B4D"/>
                <w:sz w:val="18"/>
                <w:lang w:eastAsia="ru-RU"/>
              </w:rPr>
              <w:t>Кол-во слоев</w:t>
            </w: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1-2 слоя</w:t>
            </w:r>
          </w:p>
        </w:tc>
      </w:tr>
      <w:tr w:rsidR="00E1135E" w:rsidRPr="00E1135E" w:rsidTr="00E1135E"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8"/>
                <w:lang w:eastAsia="ru-RU"/>
              </w:rPr>
              <w:t>Расход на 1 м</w:t>
            </w:r>
            <w:proofErr w:type="gramStart"/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2"/>
                <w:vertAlign w:val="superscript"/>
                <w:lang w:eastAsia="ru-RU"/>
              </w:rPr>
              <w:t>2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90 мл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.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п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ри рекомендованном количестве слоев)</w:t>
            </w:r>
          </w:p>
        </w:tc>
      </w:tr>
      <w:tr w:rsidR="00E1135E" w:rsidRPr="00E1135E" w:rsidTr="00E1135E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4B4B4D"/>
                <w:sz w:val="18"/>
                <w:lang w:eastAsia="ru-RU"/>
              </w:rPr>
              <w:t>Расход</w:t>
            </w: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Обычно расход изделия варьирует от 50 до 100 мл/м</w:t>
            </w:r>
            <w:proofErr w:type="gramStart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2</w:t>
            </w:r>
            <w:proofErr w:type="gramEnd"/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при нанесении в один слой.</w:t>
            </w:r>
          </w:p>
        </w:tc>
      </w:tr>
      <w:tr w:rsidR="00E1135E" w:rsidRPr="00E1135E" w:rsidTr="00E1135E"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8"/>
                <w:lang w:eastAsia="ru-RU"/>
              </w:rPr>
              <w:t>Высыхание</w:t>
            </w: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24 часа</w:t>
            </w:r>
          </w:p>
        </w:tc>
      </w:tr>
      <w:tr w:rsidR="00E1135E" w:rsidRPr="00E1135E" w:rsidTr="00E1135E"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4B4B4D"/>
                <w:sz w:val="18"/>
                <w:lang w:eastAsia="ru-RU"/>
              </w:rPr>
              <w:t>Хранение</w:t>
            </w: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4B4B4D"/>
                <w:sz w:val="18"/>
                <w:szCs w:val="18"/>
                <w:lang w:eastAsia="ru-RU"/>
              </w:rPr>
              <w:t>В оригинально закрытой упаковке при температуре 5 – 25 °C. Защитить от прямых солнечных лучей. Не допускать замерзания.</w:t>
            </w:r>
          </w:p>
        </w:tc>
      </w:tr>
      <w:tr w:rsidR="00E1135E" w:rsidRPr="00E1135E" w:rsidTr="00E1135E"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b/>
                <w:bCs/>
                <w:color w:val="FFFFFF"/>
                <w:sz w:val="18"/>
                <w:lang w:eastAsia="ru-RU"/>
              </w:rPr>
              <w:t>Упаковочные единицы</w:t>
            </w: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BABAB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35E" w:rsidRPr="00E1135E" w:rsidRDefault="00E1135E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</w:pPr>
            <w:r w:rsidRPr="00E1135E">
              <w:rPr>
                <w:rFonts w:ascii="Helvetica" w:eastAsia="Times New Roman" w:hAnsi="Helvetica" w:cs="Times New Roman"/>
                <w:color w:val="FFFFFF"/>
                <w:sz w:val="18"/>
                <w:szCs w:val="18"/>
                <w:lang w:eastAsia="ru-RU"/>
              </w:rPr>
              <w:t>0,5л, 1л, 2,5л</w:t>
            </w:r>
          </w:p>
        </w:tc>
      </w:tr>
    </w:tbl>
    <w:p w:rsidR="00E1135E" w:rsidRPr="00E1135E" w:rsidRDefault="00E1135E" w:rsidP="00E1135E">
      <w:pPr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Любая деревянная поверхность подвержена воздействию солнечных лучей, насекомых. Деревянные конструкции, расположенные вне помещения, могут, помимо этого, пострадать от непогоды. Именно поэтому необходимо все изделия из дерева покрывать защитными средствами. </w:t>
      </w:r>
    </w:p>
    <w:p w:rsidR="00E1135E" w:rsidRPr="00E1135E" w:rsidRDefault="00E1135E" w:rsidP="00E1135E">
      <w:pPr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Сегодня вы найдете на рынке огромное количество лаков и масел, которые защищают дерево, придают ему блеск. Однако лаки образуют на поверхности защитную пленку, текстура дерева немного теряется. </w:t>
      </w:r>
      <w:r w:rsidRPr="00E1135E">
        <w:rPr>
          <w:rFonts w:ascii="Helvetica" w:eastAsia="Times New Roman" w:hAnsi="Helvetica" w:cs="Times New Roman"/>
          <w:b/>
          <w:bCs/>
          <w:color w:val="4B4B4D"/>
          <w:sz w:val="18"/>
          <w:szCs w:val="18"/>
          <w:lang w:eastAsia="ru-RU"/>
        </w:rPr>
        <w:t>Масло для древесины</w:t>
      </w: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имеет уникальную особенность – оно проникает глубоко в поры дерева, не образуя защитной пленки. Это значит, что древесина продолжает «дышать», но благодаря пропитке становится водонепроницаемой. Дерево после обработки имеет естественную текстуру, приятный натуральный цвет. </w:t>
      </w:r>
    </w:p>
    <w:p w:rsidR="00E1135E" w:rsidRPr="00E1135E" w:rsidRDefault="00E1135E" w:rsidP="00E1135E">
      <w:pPr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У нас на сайте вы найдете различные виды масел для пропитки древесины. Это масла для деревянных изделий, соприкасающихся с продуктами питания (например, кухонные, сервировочные столы), и специальные масла для защиты поверхностей вне помещений. Такие средства предотвращают образование на поверхности древесины плесени. Используя наши масла, вы можете обработать все деревянные, фанерные поверхности, как в помещении, так на улице. Масло для древесины подойдет для обработки садовой мебели, окон, заборов, дверей и многого другого. Также у нас вы найдете масла с добавлением </w:t>
      </w: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lastRenderedPageBreak/>
        <w:t xml:space="preserve">воска, которые используются для заключительного этапа обработки поверхности. Они используются, если необходимо создать защитную пленку, немного сгладить поверхность. </w:t>
      </w:r>
    </w:p>
    <w:p w:rsidR="00E1135E" w:rsidRPr="00E1135E" w:rsidRDefault="00E1135E" w:rsidP="00E1135E">
      <w:pPr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Обработка древесины маслом производится по чистой сухой отшлифованной поверхности. Обычно для нанесения используют ткань, но можно воспользоваться для работы кисточкой. </w:t>
      </w:r>
    </w:p>
    <w:p w:rsidR="00E1135E" w:rsidRPr="00E1135E" w:rsidRDefault="00E1135E" w:rsidP="00E1135E">
      <w:pPr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Покрытие маслом древесины защитит ваши вещи от негативных воздействий окружающей среды. При должном уходе ваши вещи прослужат вам дольше, будут выглядеть как новые. </w:t>
      </w:r>
    </w:p>
    <w:p w:rsidR="00E1135E" w:rsidRPr="00E1135E" w:rsidRDefault="00E1135E" w:rsidP="00E1135E">
      <w:pPr>
        <w:pBdr>
          <w:bottom w:val="dashed" w:sz="6" w:space="4" w:color="4B4B4D"/>
        </w:pBdr>
        <w:spacing w:before="150" w:after="150" w:line="300" w:lineRule="atLeast"/>
        <w:outlineLvl w:val="1"/>
        <w:rPr>
          <w:rFonts w:ascii="inherit" w:eastAsia="Times New Roman" w:hAnsi="inherit" w:cs="Times New Roman"/>
          <w:caps/>
          <w:color w:val="4B4B4D"/>
          <w:sz w:val="30"/>
          <w:szCs w:val="30"/>
          <w:lang w:eastAsia="ru-RU"/>
        </w:rPr>
      </w:pPr>
      <w:r w:rsidRPr="00E1135E">
        <w:rPr>
          <w:rFonts w:ascii="inherit" w:eastAsia="Times New Roman" w:hAnsi="inherit" w:cs="Times New Roman"/>
          <w:caps/>
          <w:color w:val="4B4B4D"/>
          <w:sz w:val="30"/>
          <w:szCs w:val="30"/>
          <w:lang w:eastAsia="ru-RU"/>
        </w:rPr>
        <w:t>Частые вопросы по разделу "Масла"</w:t>
      </w:r>
    </w:p>
    <w:p w:rsidR="00E1135E" w:rsidRDefault="00E1135E" w:rsidP="00E1135E">
      <w:pPr>
        <w:shd w:val="clear" w:color="auto" w:fill="FFFFFF"/>
        <w:spacing w:after="75" w:line="300" w:lineRule="atLeast"/>
        <w:jc w:val="both"/>
        <w:rPr>
          <w:rFonts w:eastAsia="Times New Roman" w:cs="Times New Roman"/>
          <w:b/>
          <w:bCs/>
          <w:color w:val="8BC53F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b/>
          <w:bCs/>
          <w:color w:val="8BC53F"/>
          <w:sz w:val="18"/>
          <w:szCs w:val="18"/>
          <w:lang w:eastAsia="ru-RU"/>
        </w:rPr>
        <w:t xml:space="preserve">Что влияет на конечный вид прозрачных (полупрозрачных) средств? </w:t>
      </w: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2380"/>
        <w:gridCol w:w="2720"/>
        <w:gridCol w:w="2560"/>
        <w:gridCol w:w="5840"/>
      </w:tblGrid>
      <w:tr w:rsidR="00E841EC" w:rsidRPr="00E841EC" w:rsidTr="00E841EC">
        <w:trPr>
          <w:gridAfter w:val="1"/>
          <w:wAfter w:w="5840" w:type="dxa"/>
          <w:trHeight w:val="135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тип древесины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цвет древесины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темная древесина – более темный оттенок,</w:t>
            </w:r>
          </w:p>
        </w:tc>
      </w:tr>
      <w:tr w:rsidR="00E841EC" w:rsidRPr="00E841EC" w:rsidTr="00E841EC">
        <w:trPr>
          <w:gridAfter w:val="1"/>
          <w:wAfter w:w="5840" w:type="dxa"/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тип древесины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состав древесины, сучки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экстракты – растворяющиеся в воде субстанции (например, танин), которые при обработке древесины водными средствами отслаиваются, поэтому поверхность может быть неравномерно окрашенной – в этом случае рекомендуем обработку средствами на основе органических растворителей</w:t>
            </w:r>
          </w:p>
        </w:tc>
      </w:tr>
      <w:tr w:rsidR="00E841EC" w:rsidRPr="00E841EC" w:rsidTr="00E841EC">
        <w:trPr>
          <w:gridAfter w:val="1"/>
          <w:wAfter w:w="5840" w:type="dxa"/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качество древесины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новая древесина, старая древесина (цвет древесины), качество бревен, место вырубки – быстрый или медленный рост (различные впитывающие свойства древесины), время вырубки, способ распиловки, процедура сушения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быстрый рост, спилена не в то время, неправильно распилена, плохо </w:t>
            </w:r>
            <w:proofErr w:type="gramStart"/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высушена = плохая древесина → больше впитывает</w:t>
            </w:r>
            <w:proofErr w:type="gramEnd"/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 → более темный оттенок</w:t>
            </w:r>
          </w:p>
        </w:tc>
      </w:tr>
      <w:tr w:rsidR="00E841EC" w:rsidRPr="00E841EC" w:rsidTr="00E841EC">
        <w:trPr>
          <w:gridAfter w:val="1"/>
          <w:wAfter w:w="5840" w:type="dxa"/>
          <w:trHeight w:val="135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качество механической обработки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только пиленая древесина, плохо или хорошо струганная, грубо зашкуренная, хорошо зашкуренная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распилена, плохо стругана, грубо зашкурена = плохо обработанная древесина → расход больше, более темный оттенок</w:t>
            </w:r>
          </w:p>
        </w:tc>
      </w:tr>
      <w:tr w:rsidR="00E841EC" w:rsidRPr="00E841EC" w:rsidTr="00E841EC">
        <w:trPr>
          <w:gridAfter w:val="1"/>
          <w:wAfter w:w="5840" w:type="dxa"/>
          <w:trHeight w:val="3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использование и пропитка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пропитанная древесина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 xml:space="preserve">светлый оттенок, </w:t>
            </w:r>
          </w:p>
        </w:tc>
      </w:tr>
      <w:tr w:rsidR="00E841EC" w:rsidRPr="00E841EC" w:rsidTr="00E841EC">
        <w:trPr>
          <w:gridAfter w:val="1"/>
          <w:wAfter w:w="5840" w:type="dxa"/>
          <w:trHeight w:val="3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использование и пропитка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без пропитки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темный оттенок</w:t>
            </w:r>
          </w:p>
        </w:tc>
      </w:tr>
      <w:tr w:rsidR="00E841EC" w:rsidRPr="00E841EC" w:rsidTr="00E841EC">
        <w:trPr>
          <w:gridAfter w:val="1"/>
          <w:wAfter w:w="5840" w:type="dxa"/>
          <w:trHeight w:val="3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количество обработок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меньше обработок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светлый оттенок,</w:t>
            </w:r>
          </w:p>
        </w:tc>
      </w:tr>
      <w:tr w:rsidR="00E841EC" w:rsidRPr="00E841EC" w:rsidTr="00E841EC">
        <w:trPr>
          <w:gridAfter w:val="1"/>
          <w:wAfter w:w="5840" w:type="dxa"/>
          <w:trHeight w:val="3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количество обработок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больше обработок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темный оттенок</w:t>
            </w:r>
          </w:p>
        </w:tc>
      </w:tr>
      <w:tr w:rsidR="00E841EC" w:rsidRPr="00E841EC" w:rsidTr="00E841EC">
        <w:trPr>
          <w:gridAfter w:val="1"/>
          <w:wAfter w:w="5840" w:type="dxa"/>
          <w:trHeight w:val="3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толщина отдельных слоев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тонкие слои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светлый оттенок,</w:t>
            </w:r>
          </w:p>
        </w:tc>
      </w:tr>
      <w:tr w:rsidR="00E841EC" w:rsidRPr="00E841EC" w:rsidTr="00E841EC">
        <w:trPr>
          <w:gridAfter w:val="1"/>
          <w:wAfter w:w="5840" w:type="dxa"/>
          <w:trHeight w:val="37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толщина отдельных слоев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толстые слои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1EC" w:rsidRPr="00E841EC" w:rsidRDefault="00E841EC" w:rsidP="00E841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</w:pPr>
            <w:r w:rsidRPr="00E841EC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темный оттенок</w:t>
            </w:r>
          </w:p>
        </w:tc>
      </w:tr>
      <w:tr w:rsidR="00E841EC" w:rsidRPr="00E1135E" w:rsidTr="00E841EC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/>
          <w:jc w:val="center"/>
        </w:trPr>
        <w:tc>
          <w:tcPr>
            <w:tcW w:w="1350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41EC" w:rsidRPr="00E1135E" w:rsidRDefault="00E841EC" w:rsidP="00E1135E">
            <w:pPr>
              <w:spacing w:after="0" w:line="300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E1135E" w:rsidRPr="00E1135E" w:rsidRDefault="00E1135E" w:rsidP="00E1135E">
      <w:pPr>
        <w:shd w:val="clear" w:color="auto" w:fill="FFFFFF"/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b/>
          <w:bCs/>
          <w:color w:val="4B4B4D"/>
          <w:sz w:val="18"/>
          <w:szCs w:val="18"/>
          <w:lang w:eastAsia="ru-RU"/>
        </w:rPr>
        <w:t xml:space="preserve">Есть ли чисто белое средство, но в то же </w:t>
      </w:r>
      <w:proofErr w:type="gramStart"/>
      <w:r w:rsidRPr="00E1135E">
        <w:rPr>
          <w:rFonts w:ascii="Helvetica" w:eastAsia="Times New Roman" w:hAnsi="Helvetica" w:cs="Times New Roman"/>
          <w:b/>
          <w:bCs/>
          <w:color w:val="4B4B4D"/>
          <w:sz w:val="18"/>
          <w:szCs w:val="18"/>
          <w:lang w:eastAsia="ru-RU"/>
        </w:rPr>
        <w:t>время</w:t>
      </w:r>
      <w:proofErr w:type="gramEnd"/>
      <w:r w:rsidRPr="00E1135E">
        <w:rPr>
          <w:rFonts w:ascii="Helvetica" w:eastAsia="Times New Roman" w:hAnsi="Helvetica" w:cs="Times New Roman"/>
          <w:b/>
          <w:bCs/>
          <w:color w:val="4B4B4D"/>
          <w:sz w:val="18"/>
          <w:szCs w:val="18"/>
          <w:lang w:eastAsia="ru-RU"/>
        </w:rPr>
        <w:t xml:space="preserve"> не скрывающее структуру древесины? </w:t>
      </w: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br/>
        <w:t>При использовании всех лазурных средств (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Lasur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и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Toplasur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№ 11, а также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Exterier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и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Interier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№ 73) поверхность древесины после обработки становится белой. Поскольку эти средства являются полупрозрачными, через средство видны волокна, то есть структура древесины. Белый цвет и прозрачность средства зависят от количества обработок белой лазурью. Поэтому перед обработкой всей поверхности рекомендуем опробовать средство на таком же типе и таким же образом обработанной древесины, которую мы будем обрабатывать. Когда необходимо придать древесине белый оттенок, необходимо использовать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Interier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(внутри) или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Exterier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(снаружи). Акриловые смолы, содержащиеся в этих двух средствах, не желтеют ни в темноте, ни на свету. Оттенок, следовательно, будет зависеть только от желтизны древесины под средством, которая особо проявляется на свету.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Lasur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и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Toplasur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в качестве связующего вещества содержат алкидные смолы, которые со временем желтеют (желтизна проявляется в темноте). Поскольку древесина под </w:t>
      </w: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lastRenderedPageBreak/>
        <w:t xml:space="preserve">средством со временем изменяет цвет, из-за уменьшения белизны создается впечатление, что средства больше нет. </w:t>
      </w:r>
    </w:p>
    <w:p w:rsidR="00E1135E" w:rsidRPr="00E1135E" w:rsidRDefault="00E1135E" w:rsidP="00E1135E">
      <w:pPr>
        <w:shd w:val="clear" w:color="auto" w:fill="FFFFFF"/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b/>
          <w:bCs/>
          <w:color w:val="8BC53F"/>
          <w:sz w:val="18"/>
          <w:szCs w:val="18"/>
          <w:lang w:eastAsia="ru-RU"/>
        </w:rPr>
        <w:t xml:space="preserve">Вредно ли средство </w:t>
      </w:r>
      <w:proofErr w:type="spellStart"/>
      <w:r w:rsidRPr="00E1135E">
        <w:rPr>
          <w:rFonts w:ascii="Helvetica" w:eastAsia="Times New Roman" w:hAnsi="Helvetica" w:cs="Times New Roman"/>
          <w:b/>
          <w:bCs/>
          <w:color w:val="8BC53F"/>
          <w:sz w:val="18"/>
          <w:szCs w:val="18"/>
          <w:lang w:eastAsia="ru-RU"/>
        </w:rPr>
        <w:t>Belocid</w:t>
      </w:r>
      <w:proofErr w:type="spellEnd"/>
      <w:r w:rsidRPr="00E1135E">
        <w:rPr>
          <w:rFonts w:ascii="Helvetica" w:eastAsia="Times New Roman" w:hAnsi="Helvetica" w:cs="Times New Roman"/>
          <w:b/>
          <w:bCs/>
          <w:color w:val="8BC53F"/>
          <w:sz w:val="18"/>
          <w:szCs w:val="18"/>
          <w:lang w:eastAsia="ru-RU"/>
        </w:rPr>
        <w:t xml:space="preserve"> для здоровья? Как защитить себя при использовании и как долго и хорошо оставаться в помещениях, где использовалось средство </w:t>
      </w:r>
      <w:proofErr w:type="spellStart"/>
      <w:r w:rsidRPr="00E1135E">
        <w:rPr>
          <w:rFonts w:ascii="Helvetica" w:eastAsia="Times New Roman" w:hAnsi="Helvetica" w:cs="Times New Roman"/>
          <w:b/>
          <w:bCs/>
          <w:color w:val="8BC53F"/>
          <w:sz w:val="18"/>
          <w:szCs w:val="18"/>
          <w:lang w:eastAsia="ru-RU"/>
        </w:rPr>
        <w:t>Belocid</w:t>
      </w:r>
      <w:proofErr w:type="spellEnd"/>
      <w:r w:rsidRPr="00E1135E">
        <w:rPr>
          <w:rFonts w:ascii="Helvetica" w:eastAsia="Times New Roman" w:hAnsi="Helvetica" w:cs="Times New Roman"/>
          <w:b/>
          <w:bCs/>
          <w:color w:val="8BC53F"/>
          <w:sz w:val="18"/>
          <w:szCs w:val="18"/>
          <w:lang w:eastAsia="ru-RU"/>
        </w:rPr>
        <w:t xml:space="preserve">? </w:t>
      </w:r>
    </w:p>
    <w:p w:rsidR="00E1135E" w:rsidRPr="00E1135E" w:rsidRDefault="00E1135E" w:rsidP="00E1135E">
      <w:pPr>
        <w:shd w:val="clear" w:color="auto" w:fill="FFFFFF"/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Средство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Belocid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содержит химикалии, которые могут нанести вред и организму человека, если попадут в него. Они практически не испаряются из древесины, однако, в закрытом помещении, которое долгое время не проветривалось, могут скапливаться пары этих химикалий. Поэтому, древесину, которая была защищена средством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Belocid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, необходимо отделить от жилого помещения пленкой (полиэтилен, алюминий), деревянными панелями, плитами или стеной. </w:t>
      </w:r>
    </w:p>
    <w:p w:rsidR="00E1135E" w:rsidRPr="00E1135E" w:rsidRDefault="00E1135E" w:rsidP="00E1135E">
      <w:pPr>
        <w:shd w:val="clear" w:color="auto" w:fill="FFFFFF"/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Кратковременное воздействие минимальных паров химикалий и растворителей не опасно для здоровья, однако, рекомендуется хорошо проветривать помещение во время обработки и высыхания. Ввиду образования аэрозолей, которые попадают в окружающую среду и легкие обрабатывающего, средство </w:t>
      </w:r>
      <w:proofErr w:type="spellStart"/>
      <w:proofErr w:type="gram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Belocid</w:t>
      </w:r>
      <w:proofErr w:type="spellEnd"/>
      <w:proofErr w:type="gram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как правило не наносится распылением. Если иначе не получается, обязательно использовать защитную маску (газовую маску), объект защитить так, чтобы аэрозоли не попадали в окружающую среду. Во время работы необходимо предотвратить попадание на кожу, поэтому работать аккуратно и использовать средства личной защиты. После обработки растворители должны хорошо испариться (1 - 14 дней – зависит от того, насколько глубоко была пропитана древесина, и от размера поверхности). Запах, который присутствует еще несколько дней, образуется из-за испарения растворителей, поэтому помещение должно хорошо проветриваться. Растворители менее опасны для здоровья, если помещение проветривается. Со временем запах исчезнет. В случае применения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биоцидов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в жилых помещениях, древесину необходимо обработать еще одним из декоративных средств, которое не содержит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биоцидов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. Этим инсектициды будут «заблокированы» в древесине и контакт с ними будет предотвращен. </w:t>
      </w:r>
    </w:p>
    <w:p w:rsidR="00E1135E" w:rsidRPr="00E1135E" w:rsidRDefault="00E1135E" w:rsidP="00E1135E">
      <w:pPr>
        <w:shd w:val="clear" w:color="auto" w:fill="FFFFFF"/>
        <w:spacing w:after="75" w:line="300" w:lineRule="atLeast"/>
        <w:jc w:val="both"/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</w:pPr>
      <w:r w:rsidRPr="00E1135E">
        <w:rPr>
          <w:rFonts w:ascii="Helvetica" w:eastAsia="Times New Roman" w:hAnsi="Helvetica" w:cs="Times New Roman"/>
          <w:b/>
          <w:bCs/>
          <w:color w:val="4B4B4D"/>
          <w:sz w:val="18"/>
          <w:szCs w:val="18"/>
          <w:lang w:eastAsia="ru-RU"/>
        </w:rPr>
        <w:t xml:space="preserve">Как подготовить для защиты поверхность неглазурованного клинкерного кирпича, если на поверхности выступила соль? </w:t>
      </w:r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br/>
        <w:t xml:space="preserve">Если выступившая соль растворима в воде, то удалите ее, растворив в холодной или теплой воде, при помощи чистки твердой (например, сорговой или пластиковой) щеткой. Если она нерастворима в воде, то попытайтесь ее растопить слабой кислотой (разбавленные средства для чистки унитазов, разбавленная соляная кислота, слабые органические кислоты, и т.д.) или основаниями, в зависимости от источника соли (например, разбавленная калийная или натриевая щелочь) с использованием щетки. Во всех случаях (особенно во втором, при использовании химических веществ) необходимо еще промыть клинкерный кирпич чистой водой. В работе можно использовать также слабые растворы моющих средств. Для очистки, особенно устойчивой соли, существуют эффективные чистящие средства, но нужно хорошо знать источник появившейся соли. Чистую и хорошо высушенную поверхность затем защитите средством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Beltal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 xml:space="preserve"> </w:t>
      </w:r>
      <w:proofErr w:type="spellStart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klinker</w:t>
      </w:r>
      <w:proofErr w:type="spellEnd"/>
      <w:r w:rsidRPr="00E1135E">
        <w:rPr>
          <w:rFonts w:ascii="Helvetica" w:eastAsia="Times New Roman" w:hAnsi="Helvetica" w:cs="Times New Roman"/>
          <w:color w:val="4B4B4D"/>
          <w:sz w:val="18"/>
          <w:szCs w:val="18"/>
          <w:lang w:eastAsia="ru-RU"/>
        </w:rPr>
        <w:t>.</w:t>
      </w:r>
    </w:p>
    <w:p w:rsidR="00193E69" w:rsidRDefault="00193E69"/>
    <w:sectPr w:rsidR="00193E69" w:rsidSect="0019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35E"/>
    <w:rsid w:val="00193E69"/>
    <w:rsid w:val="00E1135E"/>
    <w:rsid w:val="00E8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69"/>
  </w:style>
  <w:style w:type="paragraph" w:styleId="2">
    <w:name w:val="heading 2"/>
    <w:basedOn w:val="a"/>
    <w:link w:val="20"/>
    <w:uiPriority w:val="9"/>
    <w:qFormat/>
    <w:rsid w:val="00E1135E"/>
    <w:pPr>
      <w:spacing w:before="150" w:after="150" w:line="300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135E"/>
    <w:rPr>
      <w:b/>
      <w:bCs/>
    </w:rPr>
  </w:style>
  <w:style w:type="paragraph" w:customStyle="1" w:styleId="hidethis1">
    <w:name w:val="hidethis1"/>
    <w:basedOn w:val="a"/>
    <w:rsid w:val="00E1135E"/>
    <w:pPr>
      <w:spacing w:after="75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35E"/>
    <w:rPr>
      <w:rFonts w:ascii="inherit" w:eastAsia="Times New Roman" w:hAnsi="inherit" w:cs="Times New Roman"/>
      <w:b/>
      <w:bCs/>
      <w:sz w:val="47"/>
      <w:szCs w:val="4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11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4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91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5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65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10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nka.ru/products/masla/belinka_exterier_oil.php?print=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linka.ru/products/masla/belinka_oil_wax.php?print=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inka.ru/products/masla/belinka_oil_food_interact.php?print=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CCDC-D35F-43BE-9ED8-04FA5B94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2396</Words>
  <Characters>13659</Characters>
  <Application>Microsoft Office Word</Application>
  <DocSecurity>0</DocSecurity>
  <Lines>113</Lines>
  <Paragraphs>32</Paragraphs>
  <ScaleCrop>false</ScaleCrop>
  <Company/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Грищенко Андрей Станиславович</cp:lastModifiedBy>
  <cp:revision>2</cp:revision>
  <dcterms:created xsi:type="dcterms:W3CDTF">2014-01-29T08:11:00Z</dcterms:created>
  <dcterms:modified xsi:type="dcterms:W3CDTF">2015-04-03T11:04:00Z</dcterms:modified>
</cp:coreProperties>
</file>